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2.png" ContentType="image/png"/>
  <Override PartName="/word/media/rId56.png" ContentType="image/png"/>
  <Override PartName="/word/media/rId94.png" ContentType="image/png"/>
  <Override PartName="/word/media/rId104.png" ContentType="image/png"/>
  <Override PartName="/word/media/rId9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34.0314136%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37.9815271</w:t>
      </w:r>
      <w:r>
        <w:t xml:space="preserve"> </w:t>
      </w:r>
      <m:oMath>
        <m:r>
          <m:rPr>
            <m:sty m:val="p"/>
          </m:rPr>
          <m:t>±</m:t>
        </m:r>
      </m:oMath>
      <w:r>
        <w:t xml:space="preserve"> </w:t>
      </w:r>
      <w:r>
        <w:t xml:space="preserve">45.1903321 days), and terrestrial ectotherms were acclimated for a much shorter duration (mean (SD) = 23.5284553</w:t>
      </w:r>
      <w:r>
        <w:t xml:space="preserve"> </w:t>
      </w:r>
      <m:oMath>
        <m:r>
          <m:rPr>
            <m:sty m:val="p"/>
          </m:rPr>
          <m:t>±</m:t>
        </m:r>
      </m:oMath>
      <w:r>
        <w:t xml:space="preserve"> </w:t>
      </w:r>
      <w:r>
        <w:t xml:space="preserve">15.5570474, n = 125) than both freshwater (mean (SD) = 36.8087167</w:t>
      </w:r>
      <w:r>
        <w:t xml:space="preserve"> </w:t>
      </w:r>
      <m:oMath>
        <m:r>
          <m:rPr>
            <m:sty m:val="p"/>
          </m:rPr>
          <m:t>±</m:t>
        </m:r>
      </m:oMath>
      <w:r>
        <w:t xml:space="preserve"> </w:t>
      </w:r>
      <w:r>
        <w:t xml:space="preserve">28.7077629, n = 430) and marine species (mean (SD) = 46.1775362</w:t>
      </w:r>
      <w:r>
        <w:t xml:space="preserve"> </w:t>
      </w:r>
      <m:oMath>
        <m:r>
          <m:rPr>
            <m:sty m:val="p"/>
          </m:rPr>
          <m:t>±</m:t>
        </m:r>
      </m:oMath>
      <w:r>
        <w:t xml:space="preserve"> </w:t>
      </w:r>
      <w:r>
        <w:t xml:space="preserve">67.2126693,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37.9815271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 and publication year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In addition, a second form of publication bias, time-lag bias, is very common, whereby effect magnitude declines through time with the publication of more studies, often of higher power</w:t>
      </w:r>
      <w:r>
        <w:t xml:space="preserve"> </w:t>
      </w:r>
      <w:r>
        <w:t xml:space="preserve">(Yang</w:t>
      </w:r>
      <w:r>
        <w:t xml:space="preserve"> </w:t>
      </w:r>
      <w:r>
        <w:rPr>
          <w:iCs/>
          <w:i/>
        </w:rPr>
        <w:t xml:space="preserve">et al.</w:t>
      </w:r>
      <w:r>
        <w:t xml:space="preserve"> </w:t>
      </w:r>
      <w:r>
        <w:t xml:space="preserve">2023)</w:t>
      </w:r>
      <w:r>
        <w:t xml:space="preserve">. Decline effects result from early studies having exagerated effect sizes.</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0.0692282, 95% CI: 0.0352333 to 0.1032231,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7.942601% across all habitats (95%CI: 4.7858502 to 11.2428758%).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10.1151427% (95% CI: 6.0391131 to 14.1246045) in freshwater and 9.2635907% (95% CI: 2.6165698 to 15.7998426) in marine environments. In contrast, terrestrial ectotherms showed no acclimation (possibly even inverse acclimation) – showing a 4.4490697%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0.1937765 to 11.4392369,</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0.0692282, 95% CI: 0.0352333 to 0.1032231, p &lt; 0.0001), acclimatization is not likely going to provide adaptive benefits under climate change. Effect heterogeneity was nontheless high (only 2.4567861% of the variance was the resulting of sampling varianbility, 95% CI: 2.115129 to 2.816976%), with most variance being explained by the specific study and type of trait (Study: 25.7070088% , 95% CI: 17.8212054 to 34.1892961%; Trait Type: 26.6059596% , 95% CI: 17.6791952 to 36.4331332%). Evolutionary and species specific ecoloogy explained little variation in acute and acclimation repsonses (Species: 2.1520592% , 95% CI: 0.0055942 to 7.3541955%; Phylogeny: 1.9970864% , 95% CI: 0.0020731 to 9.9893018%)</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27.9777914% (95% CI: 11.2961591 to 40.5571113,</w:t>
      </w:r>
      <w:r>
        <w:t xml:space="preserve"> </w:t>
      </w:r>
      <m:oMath>
        <m:sSub>
          <m:e>
            <m:r>
              <m:t>p</m:t>
            </m:r>
          </m:e>
          <m:sub>
            <m:r>
              <m:t>m</m:t>
            </m:r>
            <m:r>
              <m:t>c</m:t>
            </m:r>
            <m:r>
              <m:t>m</m:t>
            </m:r>
            <m:r>
              <m:t>c</m:t>
            </m:r>
          </m:sub>
        </m:sSub>
      </m:oMath>
      <w:r>
        <w:t xml:space="preserve"> </w:t>
      </w:r>
      <w:r>
        <w:t xml:space="preserve">= 0.004375) reduction in variation in physiological rates for terrestrial ectotherms and a 15.4702285% (95% CI: 1.8479339 to 30.2703763,</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(8.4478066%, 95% CI: 0.5498818 to 21.4117925,</w:t>
      </w:r>
      <w:r>
        <w:t xml:space="preserve"> </w:t>
      </w:r>
      <m:oMath>
        <m:sSub>
          <m:e>
            <m:r>
              <m:t>p</m:t>
            </m:r>
          </m:e>
          <m:sub>
            <m:r>
              <m:t>m</m:t>
            </m:r>
            <m:r>
              <m:t>c</m:t>
            </m:r>
            <m:r>
              <m:t>m</m:t>
            </m:r>
            <m:r>
              <m:t>c</m:t>
            </m:r>
          </m:sub>
        </m:sSub>
      </m:oMath>
      <w:r>
        <w:t xml:space="preserve"> </w:t>
      </w:r>
      <w:r>
        <w:t xml:space="preserve">= 0.3075).</w:t>
      </w:r>
    </w:p>
    <w:bookmarkEnd w:id="51"/>
    <w:bookmarkStart w:id="60" w:name="Xc10ebb43a1744a2445867384f67c174e2ec2054"/>
    <w:p>
      <w:pPr>
        <w:pStyle w:val="Heading3"/>
      </w:pPr>
      <w:r>
        <w:rPr>
          <w:iCs/>
          <w:i/>
        </w:rPr>
        <w:t xml:space="preserve">Does climate variability predict acclimation capacity among aquatic and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fig8">
        <w:r>
          <w:rPr>
            <w:rStyle w:val="Hyperlink"/>
          </w:rPr>
          <w:t xml:space="preserve">Figure 3</w:t>
        </w:r>
      </w:hyperlink>
      <w:r>
        <w:t xml:space="preserve">). Terrestrial ectotherm populations with a history of greater thermal variability were more likely to show greater capacity for thermal acclimation compared to populations with lower thermal variability (0.1442721, 95%CI: 0.003901 to 0.2802134,</w:t>
      </w:r>
      <w:r>
        <w:t xml:space="preserve"> </w:t>
      </w:r>
      <m:oMath>
        <m:sSub>
          <m:e>
            <m:r>
              <m:t>p</m:t>
            </m:r>
          </m:e>
          <m:sub>
            <m:r>
              <m:t>m</m:t>
            </m:r>
            <m:r>
              <m:t>c</m:t>
            </m:r>
            <m:r>
              <m:t>m</m:t>
            </m:r>
            <m:r>
              <m:t>c</m:t>
            </m:r>
          </m:sub>
        </m:sSub>
      </m:oMath>
      <w:r>
        <w:t xml:space="preserve"> </w:t>
      </w:r>
      <w:r>
        <w:t xml:space="preserve">= 0.04375;</w:t>
      </w:r>
      <w:r>
        <w:t xml:space="preserve"> </w:t>
      </w:r>
      <m:oMath>
        <m:sSup>
          <m:e>
            <m:r>
              <m:t>R</m:t>
            </m:r>
          </m:e>
          <m:sup>
            <m:r>
              <m:t>2</m:t>
            </m:r>
          </m:sup>
        </m:sSup>
      </m:oMath>
      <w:r>
        <w:t xml:space="preserve"> </w:t>
      </w:r>
      <w:r>
        <w:t xml:space="preserve">= 27.9068249%). In contrast, thermal predcitability did not explain much variation across marine, freshwater or terrestrial ectotherm populations (</w:t>
      </w:r>
      <w:hyperlink w:anchor="fig-fig8">
        <w:r>
          <w:rPr>
            <w:rStyle w:val="Hyperlink"/>
          </w:rPr>
          <w:t xml:space="preserve">Figure 3</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fig9">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3" w:name="references"/>
    <w:p>
      <w:pPr>
        <w:pStyle w:val="Heading2"/>
      </w:pPr>
      <w:r>
        <w:t xml:space="preserve">References</w:t>
      </w:r>
    </w:p>
    <w:p>
      <w:pPr>
        <w:pStyle w:val="FirstParagraph"/>
      </w:pPr>
    </w:p>
    <w:bookmarkStart w:id="92"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3"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3"/>
    <w:bookmarkStart w:id="84"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4"/>
    <w:bookmarkStart w:id="85"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5"/>
    <w:bookmarkStart w:id="86"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6"/>
    <w:bookmarkStart w:id="87"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7"/>
    <w:bookmarkStart w:id="88"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8"/>
    <w:bookmarkStart w:id="89"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9"/>
    <w:bookmarkStart w:id="90" w:name="ref-Yang2023-qw"/>
    <w:p>
      <w:pPr>
        <w:pStyle w:val="Bibliography"/>
      </w:pPr>
      <w:r>
        <w:t xml:space="preserve">Yang, Y., Sánchez-Tójar, A., O’Dea, R.E., Noble, D.W.A.,</w:t>
      </w:r>
      <w:r>
        <w:t xml:space="preserve"> </w:t>
      </w:r>
      <w:r>
        <w:rPr>
          <w:iCs/>
          <w:i/>
        </w:rPr>
        <w:t xml:space="preserve">et al.</w:t>
      </w:r>
      <w:r>
        <w:t xml:space="preserve"> (2023). Publication bias impacts on effect size, statistical power, and magnitude (type m) and sign (type s) errors in ecology and evolutionary biology.</w:t>
      </w:r>
      <w:r>
        <w:t xml:space="preserve"> </w:t>
      </w:r>
      <w:r>
        <w:rPr>
          <w:iCs/>
          <w:i/>
        </w:rPr>
        <w:t xml:space="preserve">BMC Biology</w:t>
      </w:r>
      <w:r>
        <w:t xml:space="preserve">.</w:t>
      </w:r>
    </w:p>
    <w:bookmarkEnd w:id="90"/>
    <w:bookmarkStart w:id="9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1"/>
    <w:bookmarkEnd w:id="92"/>
    <w:p>
      <w:pPr>
        <w:pStyle w:val="BodyText"/>
      </w:pPr>
    </w:p>
    <w:bookmarkEnd w:id="93"/>
    <w:bookmarkStart w:id="109" w:name="supplemental-results-and-figures"/>
    <w:p>
      <w:pPr>
        <w:pStyle w:val="Heading2"/>
      </w:pPr>
      <w:r>
        <w:t xml:space="preserve">Supplemental Results and Figures</w:t>
      </w:r>
    </w:p>
    <w:bookmarkStart w:id="9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figs1">
        <w:r>
          <w:rPr>
            <w:rStyle w:val="Hyperlink"/>
          </w:rPr>
          <w:t xml:space="preserve">Figure 5</w:t>
        </w:r>
      </w:hyperlink>
      <w:r>
        <w:t xml:space="preserve">).</w:t>
      </w:r>
      <w:r>
        <w:t xml:space="preserve"> </w:t>
      </w:r>
      <w:r>
        <w:rPr>
          <w:bCs/>
          <w:b/>
        </w:rPr>
        <w:t xml:space="preserve">?@tbl-tabs1</w:t>
      </w:r>
    </w:p>
    <w:tbl>
      <w:tblPr>
        <w:tblStyle w:val="Table"/>
        <w:tblW w:type="pct" w:w="5000"/>
        <w:tblLook w:firstRow="0" w:lastRow="0" w:firstColumn="0" w:lastColumn="0" w:noHBand="0" w:noVBand="0" w:val="0000"/>
      </w:tblPr>
      <w:tblGrid>
        <w:gridCol w:w="7920"/>
      </w:tblGrid>
      <w:tr>
        <w:tc>
          <w:tcPr/>
          <w:bookmarkStart w:id="97" w:name="fig-figs1"/>
          <w:p>
            <w:pPr>
              <w:pStyle w:val="Figure"/>
              <w:jc w:val="center"/>
            </w:pPr>
            <w:r>
              <w:drawing>
                <wp:inline>
                  <wp:extent cx="6680200" cy="4647095"/>
                  <wp:effectExtent b="0" l="0" r="0" t="0"/>
                  <wp:docPr descr="" title="" id="95" name="Picture"/>
                  <a:graphic>
                    <a:graphicData uri="http://schemas.openxmlformats.org/drawingml/2006/picture">
                      <pic:pic>
                        <pic:nvPicPr>
                          <pic:cNvPr descr="ms_files/figure-docx/fig-figs1-1.png" id="96" name="Picture"/>
                          <pic:cNvPicPr>
                            <a:picLocks noChangeArrowheads="1" noChangeAspect="1"/>
                          </pic:cNvPicPr>
                        </pic:nvPicPr>
                        <pic:blipFill>
                          <a:blip r:embed="rId9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7"/>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Parameter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l-95% CI</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u-95% CI</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b w:val="true"/>
              </w:rPr>
              <w:t xml:space="default">Random Effects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record_num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species_full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b w:val="true"/>
              </w:rPr>
              <w:t xml:space="default">Fixed Effects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c_accl_time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typeacclim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habitatm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habitatt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typeacclim:habitatm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typeacclim:habitatt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bl>
    <w:bookmarkEnd w:id="98"/>
    <w:bookmarkStart w:id="10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2" w:name="fig-figs3"/>
          <w:p>
            <w:pPr>
              <w:pStyle w:val="Figure"/>
              <w:jc w:val="center"/>
            </w:pPr>
            <w:r>
              <w:drawing>
                <wp:inline>
                  <wp:extent cx="6680200" cy="2379821"/>
                  <wp:effectExtent b="0" l="0" r="0" t="0"/>
                  <wp:docPr descr="" title="" id="100" name="Picture"/>
                  <a:graphic>
                    <a:graphicData uri="http://schemas.openxmlformats.org/drawingml/2006/picture">
                      <pic:pic>
                        <pic:nvPicPr>
                          <pic:cNvPr descr="ms_files/figure-docx/fig-figs3-1.png" id="101" name="Picture"/>
                          <pic:cNvPicPr>
                            <a:picLocks noChangeArrowheads="1" noChangeAspect="1"/>
                          </pic:cNvPicPr>
                        </pic:nvPicPr>
                        <pic:blipFill>
                          <a:blip r:embed="rId9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102"/>
        </w:tc>
      </w:tr>
    </w:tbl>
    <w:bookmarkEnd w:id="103"/>
    <w:bookmarkStart w:id="10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figs2">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107" w:name="fig-figs2"/>
          <w:p>
            <w:pPr>
              <w:pStyle w:val="Figure"/>
              <w:jc w:val="center"/>
            </w:pPr>
            <w:r>
              <w:drawing>
                <wp:inline>
                  <wp:extent cx="6680200" cy="2788257"/>
                  <wp:effectExtent b="0" l="0" r="0" t="0"/>
                  <wp:docPr descr="" title="" id="105" name="Picture"/>
                  <a:graphic>
                    <a:graphicData uri="http://schemas.openxmlformats.org/drawingml/2006/picture">
                      <pic:pic>
                        <pic:nvPicPr>
                          <pic:cNvPr descr="ms_files/figure-docx/fig-figs2-1.png" id="106" name="Picture"/>
                          <pic:cNvPicPr>
                            <a:picLocks noChangeArrowheads="1" noChangeAspect="1"/>
                          </pic:cNvPicPr>
                        </pic:nvPicPr>
                        <pic:blipFill>
                          <a:blip r:embed="rId10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07"/>
        </w:tc>
      </w:tr>
    </w:tbl>
    <w:bookmarkEnd w:id="108"/>
    <w:bookmarkEnd w:id="10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99" Target="media/rId9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2023-03-29T02:07:25Z</dcterms:created>
  <dcterms:modified xsi:type="dcterms:W3CDTF">2023-03-29T02:07:25Z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